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EC" w:rsidRPr="00EC6238" w:rsidRDefault="004F740B" w:rsidP="002B6A1F">
      <w:pPr>
        <w:tabs>
          <w:tab w:val="center" w:pos="4860"/>
        </w:tabs>
        <w:spacing w:before="120" w:after="120" w:line="240" w:lineRule="auto"/>
        <w:ind w:firstLine="567"/>
        <w:jc w:val="both"/>
        <w:rPr>
          <w:b/>
          <w:sz w:val="26"/>
          <w:szCs w:val="26"/>
        </w:rPr>
      </w:pPr>
      <w:r>
        <w:rPr>
          <w:b/>
          <w:sz w:val="26"/>
          <w:szCs w:val="26"/>
        </w:rPr>
        <w:t>C</w:t>
      </w:r>
      <w:r w:rsidR="00A207EC" w:rsidRPr="00EC6238">
        <w:rPr>
          <w:b/>
          <w:sz w:val="26"/>
          <w:szCs w:val="26"/>
        </w:rPr>
        <w:t>ác biện pháp thay thế thuốc kháng sinh bằng acid hữu cơ</w:t>
      </w:r>
      <w:r w:rsidR="00ED43A4">
        <w:rPr>
          <w:b/>
          <w:sz w:val="26"/>
          <w:szCs w:val="26"/>
        </w:rPr>
        <w:t xml:space="preserve"> </w:t>
      </w:r>
      <w:r w:rsidR="00A5165D" w:rsidRPr="00EC6238">
        <w:rPr>
          <w:b/>
          <w:sz w:val="26"/>
          <w:szCs w:val="26"/>
        </w:rPr>
        <w:t>trong chăn nuôi</w:t>
      </w:r>
    </w:p>
    <w:p w:rsidR="00FB39BB" w:rsidRPr="00EC6238" w:rsidRDefault="00A207EC" w:rsidP="002B6A1F">
      <w:pPr>
        <w:pStyle w:val="NormalWeb"/>
        <w:shd w:val="clear" w:color="auto" w:fill="FFFFFF"/>
        <w:spacing w:before="120" w:beforeAutospacing="0" w:after="120" w:afterAutospacing="0"/>
        <w:ind w:firstLine="567"/>
        <w:jc w:val="both"/>
        <w:rPr>
          <w:color w:val="1D2129"/>
          <w:sz w:val="26"/>
          <w:szCs w:val="26"/>
        </w:rPr>
      </w:pPr>
      <w:r w:rsidRPr="00EC6238">
        <w:rPr>
          <w:sz w:val="26"/>
          <w:szCs w:val="26"/>
          <w:lang w:val="pt-BR"/>
        </w:rPr>
        <w:t xml:space="preserve">Lệnh cấm sử dụng kháng sinh trong thức ăn gia súc làm chất kích thích tăng trưởng đã được ban hành tại Châu Âu vào ngày </w:t>
      </w:r>
      <w:r w:rsidR="004F740B">
        <w:rPr>
          <w:sz w:val="26"/>
          <w:szCs w:val="26"/>
          <w:lang w:val="pt-BR"/>
        </w:rPr>
        <w:t>0</w:t>
      </w:r>
      <w:r w:rsidRPr="00EC6238">
        <w:rPr>
          <w:sz w:val="26"/>
          <w:szCs w:val="26"/>
          <w:lang w:val="pt-BR"/>
        </w:rPr>
        <w:t>1/</w:t>
      </w:r>
      <w:r w:rsidR="004F740B">
        <w:rPr>
          <w:sz w:val="26"/>
          <w:szCs w:val="26"/>
          <w:lang w:val="pt-BR"/>
        </w:rPr>
        <w:t>0</w:t>
      </w:r>
      <w:r w:rsidRPr="00EC6238">
        <w:rPr>
          <w:sz w:val="26"/>
          <w:szCs w:val="26"/>
          <w:lang w:val="pt-BR"/>
        </w:rPr>
        <w:t>1/2006 đã hướng nền chăn nuô</w:t>
      </w:r>
      <w:r w:rsidR="00065291" w:rsidRPr="00EC6238">
        <w:rPr>
          <w:sz w:val="26"/>
          <w:szCs w:val="26"/>
          <w:lang w:val="pt-BR"/>
        </w:rPr>
        <w:t>i của thế giới tới việc tìm</w:t>
      </w:r>
      <w:r w:rsidRPr="00EC6238">
        <w:rPr>
          <w:sz w:val="26"/>
          <w:szCs w:val="26"/>
          <w:lang w:val="pt-BR"/>
        </w:rPr>
        <w:t xml:space="preserve"> những giải pháp thay thế kháng sinh bằng các hoạt chất khác trong việc ngăn chặn sự phát triển của các hệ vi khuẩn gây bệnh và kích thích tăng trưởng cho đàn thú nuôi.</w:t>
      </w:r>
      <w:r w:rsidR="00FB39BB" w:rsidRPr="00EC6238">
        <w:rPr>
          <w:color w:val="1D2129"/>
          <w:sz w:val="26"/>
          <w:szCs w:val="26"/>
        </w:rPr>
        <w:t xml:space="preserve"> Để thay thế kháng sinh bổ sung vào thức ăn chăn nuôi, các nước có nền chăn nuôi tiên tiến đã áp dụng các biện pháp sau: Bổ sung acid hữu cơ vào thức ăn, bổ sung enzyme thức ăn, bổ sung các chế phẩm trợ sinh (probiotic) và tiền sinh (preb</w:t>
      </w:r>
      <w:r w:rsidR="004F740B">
        <w:rPr>
          <w:color w:val="1D2129"/>
          <w:sz w:val="26"/>
          <w:szCs w:val="26"/>
        </w:rPr>
        <w:t>iotic), bổ sung các chế phẩm già</w:t>
      </w:r>
      <w:r w:rsidR="00FB39BB" w:rsidRPr="00EC6238">
        <w:rPr>
          <w:color w:val="1D2129"/>
          <w:sz w:val="26"/>
          <w:szCs w:val="26"/>
        </w:rPr>
        <w:t>u kháng thể, sử dụng thảo dược….</w:t>
      </w:r>
    </w:p>
    <w:p w:rsidR="00144886" w:rsidRPr="00EC6238" w:rsidRDefault="00FB39BB" w:rsidP="002B6A1F">
      <w:pPr>
        <w:tabs>
          <w:tab w:val="left" w:pos="912"/>
          <w:tab w:val="center" w:pos="4860"/>
        </w:tabs>
        <w:spacing w:before="120" w:after="120" w:line="240" w:lineRule="auto"/>
        <w:ind w:firstLine="567"/>
        <w:jc w:val="both"/>
        <w:rPr>
          <w:b/>
          <w:sz w:val="26"/>
          <w:szCs w:val="26"/>
        </w:rPr>
      </w:pPr>
      <w:r w:rsidRPr="00EC6238">
        <w:rPr>
          <w:color w:val="1D2129"/>
          <w:sz w:val="26"/>
          <w:szCs w:val="26"/>
        </w:rPr>
        <w:t>Vi khuẩn gây bệnh như E.coli, Samonella sống và hoạt động ở pH ≥ 4; vi khuẩn có lợi như Lactobacillus hay Bifidobacterium sống và hoạt động ở pH ≤ 3,5. Sử dụng các acid hữu cơ để đưa pH dịch tiêu hóa xuống ≤ 3,5 thì có lợi cho hoạt động và phát triển của vi khuẩn có lợi và ức chế được vi khuẩn có hại.</w:t>
      </w:r>
      <w:r w:rsidR="00875B19">
        <w:rPr>
          <w:color w:val="1D2129"/>
          <w:sz w:val="26"/>
          <w:szCs w:val="26"/>
        </w:rPr>
        <w:t xml:space="preserve"> </w:t>
      </w:r>
      <w:r w:rsidRPr="00EC6238">
        <w:rPr>
          <w:sz w:val="26"/>
          <w:szCs w:val="26"/>
          <w:lang w:val="pt-BR"/>
        </w:rPr>
        <w:t>N</w:t>
      </w:r>
      <w:r w:rsidR="00A207EC" w:rsidRPr="00EC6238">
        <w:rPr>
          <w:sz w:val="26"/>
          <w:szCs w:val="26"/>
          <w:lang w:val="pt-BR"/>
        </w:rPr>
        <w:t>hờ đặc tính phân ly, các phân tử H</w:t>
      </w:r>
      <w:r w:rsidR="00A207EC" w:rsidRPr="004F740B">
        <w:rPr>
          <w:sz w:val="26"/>
          <w:szCs w:val="26"/>
          <w:vertAlign w:val="superscript"/>
          <w:lang w:val="pt-BR"/>
        </w:rPr>
        <w:t>+</w:t>
      </w:r>
      <w:r w:rsidR="00A207EC" w:rsidRPr="00EC6238">
        <w:rPr>
          <w:sz w:val="26"/>
          <w:szCs w:val="26"/>
          <w:lang w:val="pt-BR"/>
        </w:rPr>
        <w:t xml:space="preserve"> của acid hữu cơ có khả năng làm giảm giá trị đệm của thức ăn dẫn đến cân bằng hệ vi sinh vật đường ruột nên các acid hữu cơ được quan tâm sử dụng trong các khẩu phần. Chính vì thế trong thời gian gần đây, người ta bắt đầu quan tâm sử dụng các acid hữu cơ. </w:t>
      </w:r>
      <w:r w:rsidRPr="00EC6238">
        <w:rPr>
          <w:sz w:val="26"/>
          <w:szCs w:val="26"/>
          <w:lang w:val="pt-BR"/>
        </w:rPr>
        <w:t xml:space="preserve"> Hệ thống nhung mao đường ruột</w:t>
      </w:r>
      <w:r w:rsidR="00875B19">
        <w:rPr>
          <w:sz w:val="26"/>
          <w:szCs w:val="26"/>
          <w:lang w:val="pt-BR"/>
        </w:rPr>
        <w:t xml:space="preserve"> </w:t>
      </w:r>
      <w:r w:rsidRPr="00EC6238">
        <w:rPr>
          <w:sz w:val="26"/>
          <w:szCs w:val="26"/>
          <w:lang w:val="pt-BR"/>
        </w:rPr>
        <w:t xml:space="preserve">là nơi hấp thu dinh dưỡng chính yếu trong đó </w:t>
      </w:r>
      <w:bookmarkStart w:id="0" w:name="_Toc281948526"/>
      <w:bookmarkStart w:id="1" w:name="_Toc281983337"/>
      <w:r w:rsidR="00144886" w:rsidRPr="00EC6238">
        <w:rPr>
          <w:rStyle w:val="longtext"/>
          <w:color w:val="000000" w:themeColor="text1"/>
          <w:sz w:val="26"/>
          <w:szCs w:val="26"/>
          <w:shd w:val="clear" w:color="auto" w:fill="FFFFFF"/>
        </w:rPr>
        <w:t xml:space="preserve">mào ruột có thể được coi là nơi tế bào gốc phân chia để đổi mới nhung mao ruột. </w:t>
      </w:r>
      <w:r w:rsidR="00144886" w:rsidRPr="00EC6238">
        <w:rPr>
          <w:color w:val="000000" w:themeColor="text1"/>
          <w:sz w:val="26"/>
          <w:szCs w:val="26"/>
        </w:rPr>
        <w:t xml:space="preserve">Có nhiều nguyên nhân làm thay đổi hình thái và chức năng của ruột như sự hiện diện của vi khuẩn ở ruột non, stress, thành phần và hình thái viên thức ăn. Trong đó, tác nhân vi khuẩn là một trong những yếu tố quan trọng ảnh hưởng đến chiều cao, kích thước nhung mao và độ sâu mào ruột cũng như ảnh hưởng đến khả năng tiêu hóa và hấp thu các dưỡng chất mà vi khuẩn chủ yếu luôn có sẵn trong hệ tiêu hóa điển hình là vi khuẩn </w:t>
      </w:r>
      <w:r w:rsidR="004F740B">
        <w:rPr>
          <w:i/>
          <w:color w:val="000000" w:themeColor="text1"/>
          <w:sz w:val="26"/>
          <w:szCs w:val="26"/>
        </w:rPr>
        <w:t>E.coli</w:t>
      </w:r>
      <w:r w:rsidR="004F740B" w:rsidRPr="00B02494">
        <w:rPr>
          <w:i/>
          <w:sz w:val="26"/>
          <w:szCs w:val="26"/>
        </w:rPr>
        <w:t>, S</w:t>
      </w:r>
      <w:r w:rsidR="00B02494" w:rsidRPr="00B02494">
        <w:rPr>
          <w:i/>
          <w:sz w:val="26"/>
          <w:szCs w:val="26"/>
        </w:rPr>
        <w:t>almon</w:t>
      </w:r>
      <w:r w:rsidR="00144886" w:rsidRPr="00B02494">
        <w:rPr>
          <w:i/>
          <w:sz w:val="26"/>
          <w:szCs w:val="26"/>
        </w:rPr>
        <w:t>ella</w:t>
      </w:r>
      <w:r w:rsidR="00A5165D" w:rsidRPr="00B02494">
        <w:rPr>
          <w:sz w:val="26"/>
          <w:szCs w:val="26"/>
        </w:rPr>
        <w:t>…</w:t>
      </w:r>
      <w:r w:rsidR="00144886" w:rsidRPr="00B02494">
        <w:rPr>
          <w:sz w:val="26"/>
          <w:szCs w:val="26"/>
        </w:rPr>
        <w:t xml:space="preserve">làm giảm độ cao vi nhung mao và tăng độ sâu mào ruột. Ngoài ra còn làm ảnh hưởng đến hoạt tính của các enzyme tiêu hóa carbohydrate. Vì thế làm giảm khả năng tiêu hóa và hấp thu các dưỡng chất trong thức ăn. </w:t>
      </w:r>
      <w:bookmarkEnd w:id="0"/>
      <w:bookmarkEnd w:id="1"/>
      <w:r w:rsidR="00144886" w:rsidRPr="00B02494">
        <w:rPr>
          <w:sz w:val="26"/>
          <w:szCs w:val="26"/>
        </w:rPr>
        <w:t>Ở ruột già, môi trường đường ruột trở nên kiềm tính, c</w:t>
      </w:r>
      <w:r w:rsidR="004F740B" w:rsidRPr="00B02494">
        <w:rPr>
          <w:sz w:val="26"/>
          <w:szCs w:val="26"/>
        </w:rPr>
        <w:t>hủ yếu các vi khuẩn kỵ khí như Clostridium, Fusibacteria, L</w:t>
      </w:r>
      <w:r w:rsidR="00144886" w:rsidRPr="00B02494">
        <w:rPr>
          <w:sz w:val="26"/>
          <w:szCs w:val="26"/>
        </w:rPr>
        <w:t xml:space="preserve">actobacilli, </w:t>
      </w:r>
      <w:r w:rsidR="004F740B" w:rsidRPr="00B02494">
        <w:rPr>
          <w:sz w:val="26"/>
          <w:szCs w:val="26"/>
        </w:rPr>
        <w:t>Bacteroide</w:t>
      </w:r>
      <w:r w:rsidR="00EC24EB" w:rsidRPr="00B02494">
        <w:rPr>
          <w:sz w:val="26"/>
          <w:szCs w:val="26"/>
        </w:rPr>
        <w:t>s</w:t>
      </w:r>
      <w:r w:rsidR="004F740B" w:rsidRPr="00B02494">
        <w:rPr>
          <w:sz w:val="26"/>
          <w:szCs w:val="26"/>
        </w:rPr>
        <w:t>, C</w:t>
      </w:r>
      <w:r w:rsidR="00144886" w:rsidRPr="00B02494">
        <w:rPr>
          <w:sz w:val="26"/>
          <w:szCs w:val="26"/>
        </w:rPr>
        <w:t>oliform</w:t>
      </w:r>
      <w:r w:rsidR="0047606C" w:rsidRPr="00EC6238">
        <w:rPr>
          <w:color w:val="000000" w:themeColor="text1"/>
          <w:sz w:val="26"/>
          <w:szCs w:val="26"/>
        </w:rPr>
        <w:t>…</w:t>
      </w:r>
    </w:p>
    <w:p w:rsidR="00A207EC" w:rsidRPr="00EC6238" w:rsidRDefault="00A207EC" w:rsidP="00FB39BB">
      <w:pPr>
        <w:pStyle w:val="Heading2"/>
        <w:spacing w:before="120" w:after="120" w:line="240" w:lineRule="auto"/>
        <w:ind w:firstLine="913"/>
        <w:rPr>
          <w:b w:val="0"/>
          <w:sz w:val="26"/>
          <w:szCs w:val="26"/>
        </w:rPr>
      </w:pPr>
      <w:bookmarkStart w:id="2" w:name="_Toc327623771"/>
      <w:bookmarkStart w:id="3" w:name="_Toc327624032"/>
      <w:bookmarkStart w:id="4" w:name="_Toc334225017"/>
      <w:bookmarkStart w:id="5" w:name="_Toc334225638"/>
      <w:r w:rsidRPr="00EC6238">
        <w:rPr>
          <w:sz w:val="26"/>
          <w:szCs w:val="26"/>
        </w:rPr>
        <w:t>Bảng</w:t>
      </w:r>
      <w:r w:rsidR="00144886" w:rsidRPr="00EC6238">
        <w:rPr>
          <w:sz w:val="26"/>
          <w:szCs w:val="26"/>
        </w:rPr>
        <w:t xml:space="preserve"> 1</w:t>
      </w:r>
      <w:r w:rsidRPr="00EC6238">
        <w:rPr>
          <w:sz w:val="26"/>
          <w:szCs w:val="26"/>
        </w:rPr>
        <w:t>.</w:t>
      </w:r>
      <w:r w:rsidRPr="00EC6238">
        <w:rPr>
          <w:b w:val="0"/>
          <w:sz w:val="26"/>
          <w:szCs w:val="26"/>
        </w:rPr>
        <w:t xml:space="preserve"> Khả năng sinh trưởng của vi sinh vật ở các khoảng pH khác nhau</w:t>
      </w:r>
      <w:bookmarkEnd w:id="2"/>
      <w:bookmarkEnd w:id="3"/>
      <w:bookmarkEnd w:id="4"/>
      <w:bookmarkEnd w:id="5"/>
    </w:p>
    <w:tbl>
      <w:tblPr>
        <w:tblW w:w="0" w:type="auto"/>
        <w:jc w:val="center"/>
        <w:tblBorders>
          <w:top w:val="single" w:sz="4" w:space="0" w:color="auto"/>
          <w:bottom w:val="single" w:sz="4" w:space="0" w:color="auto"/>
          <w:insideH w:val="single" w:sz="4" w:space="0" w:color="auto"/>
        </w:tblBorders>
        <w:tblLook w:val="01E0"/>
      </w:tblPr>
      <w:tblGrid>
        <w:gridCol w:w="2742"/>
        <w:gridCol w:w="2169"/>
        <w:gridCol w:w="2166"/>
        <w:gridCol w:w="2166"/>
      </w:tblGrid>
      <w:tr w:rsidR="00A207EC" w:rsidRPr="00EC6238" w:rsidTr="0047606C">
        <w:trPr>
          <w:jc w:val="center"/>
        </w:trPr>
        <w:tc>
          <w:tcPr>
            <w:tcW w:w="2761" w:type="dxa"/>
            <w:vAlign w:val="center"/>
          </w:tcPr>
          <w:p w:rsidR="00A207EC" w:rsidRPr="00EC6238" w:rsidRDefault="00A207EC" w:rsidP="00043D9B">
            <w:pPr>
              <w:spacing w:before="120" w:after="120" w:line="240" w:lineRule="auto"/>
              <w:ind w:firstLine="567"/>
              <w:jc w:val="both"/>
              <w:rPr>
                <w:b/>
                <w:sz w:val="26"/>
                <w:szCs w:val="26"/>
              </w:rPr>
            </w:pPr>
            <w:r w:rsidRPr="00EC6238">
              <w:rPr>
                <w:b/>
                <w:sz w:val="26"/>
                <w:szCs w:val="26"/>
              </w:rPr>
              <w:t>Vi sinh vật</w:t>
            </w:r>
          </w:p>
        </w:tc>
        <w:tc>
          <w:tcPr>
            <w:tcW w:w="2199" w:type="dxa"/>
            <w:vAlign w:val="center"/>
          </w:tcPr>
          <w:p w:rsidR="00A207EC" w:rsidRPr="00EC6238" w:rsidRDefault="00A207EC" w:rsidP="004F740B">
            <w:pPr>
              <w:spacing w:before="120" w:after="120" w:line="240" w:lineRule="auto"/>
              <w:rPr>
                <w:b/>
                <w:sz w:val="26"/>
                <w:szCs w:val="26"/>
              </w:rPr>
            </w:pPr>
            <w:r w:rsidRPr="00EC6238">
              <w:rPr>
                <w:b/>
                <w:sz w:val="26"/>
                <w:szCs w:val="26"/>
              </w:rPr>
              <w:t>Tối thiểu</w:t>
            </w:r>
          </w:p>
        </w:tc>
        <w:tc>
          <w:tcPr>
            <w:tcW w:w="2200" w:type="dxa"/>
            <w:vAlign w:val="center"/>
          </w:tcPr>
          <w:p w:rsidR="00A207EC" w:rsidRPr="00EC6238" w:rsidRDefault="00A207EC" w:rsidP="00FB39BB">
            <w:pPr>
              <w:spacing w:before="120" w:after="120" w:line="240" w:lineRule="auto"/>
              <w:ind w:firstLine="913"/>
              <w:jc w:val="both"/>
              <w:rPr>
                <w:b/>
                <w:sz w:val="26"/>
                <w:szCs w:val="26"/>
              </w:rPr>
            </w:pPr>
            <w:r w:rsidRPr="00EC6238">
              <w:rPr>
                <w:b/>
                <w:sz w:val="26"/>
                <w:szCs w:val="26"/>
              </w:rPr>
              <w:t>Tối ưu</w:t>
            </w:r>
          </w:p>
        </w:tc>
        <w:tc>
          <w:tcPr>
            <w:tcW w:w="2200" w:type="dxa"/>
            <w:vAlign w:val="center"/>
          </w:tcPr>
          <w:p w:rsidR="00A207EC" w:rsidRPr="00EC6238" w:rsidRDefault="00A207EC" w:rsidP="00FB39BB">
            <w:pPr>
              <w:spacing w:before="120" w:after="120" w:line="240" w:lineRule="auto"/>
              <w:ind w:firstLine="913"/>
              <w:jc w:val="both"/>
              <w:rPr>
                <w:b/>
                <w:sz w:val="26"/>
                <w:szCs w:val="26"/>
              </w:rPr>
            </w:pPr>
            <w:r w:rsidRPr="00EC6238">
              <w:rPr>
                <w:b/>
                <w:sz w:val="26"/>
                <w:szCs w:val="26"/>
              </w:rPr>
              <w:t>Tối đa</w:t>
            </w:r>
          </w:p>
        </w:tc>
      </w:tr>
      <w:tr w:rsidR="00A207EC" w:rsidRPr="00EC6238" w:rsidTr="0047606C">
        <w:trPr>
          <w:jc w:val="center"/>
        </w:trPr>
        <w:tc>
          <w:tcPr>
            <w:tcW w:w="2761" w:type="dxa"/>
            <w:vAlign w:val="center"/>
          </w:tcPr>
          <w:p w:rsidR="00A207EC" w:rsidRPr="00EC6238" w:rsidRDefault="00A207EC" w:rsidP="00043D9B">
            <w:pPr>
              <w:spacing w:before="120" w:after="120" w:line="240" w:lineRule="auto"/>
              <w:ind w:firstLine="567"/>
              <w:jc w:val="both"/>
              <w:rPr>
                <w:sz w:val="26"/>
                <w:szCs w:val="26"/>
              </w:rPr>
            </w:pPr>
            <w:r w:rsidRPr="00EC6238">
              <w:rPr>
                <w:sz w:val="26"/>
                <w:szCs w:val="26"/>
              </w:rPr>
              <w:t>Clostridium</w:t>
            </w:r>
          </w:p>
          <w:p w:rsidR="00A207EC" w:rsidRPr="00EC6238" w:rsidRDefault="00A207EC" w:rsidP="00043D9B">
            <w:pPr>
              <w:spacing w:before="120" w:after="120" w:line="240" w:lineRule="auto"/>
              <w:ind w:firstLine="567"/>
              <w:jc w:val="both"/>
              <w:rPr>
                <w:sz w:val="26"/>
                <w:szCs w:val="26"/>
              </w:rPr>
            </w:pPr>
            <w:r w:rsidRPr="00EC6238">
              <w:rPr>
                <w:sz w:val="26"/>
                <w:szCs w:val="26"/>
              </w:rPr>
              <w:t>E.coli</w:t>
            </w:r>
          </w:p>
          <w:p w:rsidR="00A207EC" w:rsidRPr="00EC6238" w:rsidRDefault="00A207EC" w:rsidP="00043D9B">
            <w:pPr>
              <w:spacing w:before="120" w:after="120" w:line="240" w:lineRule="auto"/>
              <w:ind w:firstLine="567"/>
              <w:jc w:val="both"/>
              <w:rPr>
                <w:sz w:val="26"/>
                <w:szCs w:val="26"/>
              </w:rPr>
            </w:pPr>
            <w:r w:rsidRPr="00EC6238">
              <w:rPr>
                <w:sz w:val="26"/>
                <w:szCs w:val="26"/>
              </w:rPr>
              <w:t>Pseudomonas</w:t>
            </w:r>
          </w:p>
          <w:p w:rsidR="00A207EC" w:rsidRPr="00EC6238" w:rsidRDefault="00A207EC" w:rsidP="00043D9B">
            <w:pPr>
              <w:spacing w:before="120" w:after="120" w:line="240" w:lineRule="auto"/>
              <w:ind w:firstLine="567"/>
              <w:jc w:val="both"/>
              <w:rPr>
                <w:sz w:val="26"/>
                <w:szCs w:val="26"/>
              </w:rPr>
            </w:pPr>
            <w:r w:rsidRPr="00EC6238">
              <w:rPr>
                <w:sz w:val="26"/>
                <w:szCs w:val="26"/>
              </w:rPr>
              <w:t>Salmonella</w:t>
            </w:r>
          </w:p>
          <w:p w:rsidR="00A207EC" w:rsidRPr="00EC6238" w:rsidRDefault="00A207EC" w:rsidP="00043D9B">
            <w:pPr>
              <w:spacing w:before="120" w:after="120" w:line="240" w:lineRule="auto"/>
              <w:ind w:firstLine="567"/>
              <w:jc w:val="both"/>
              <w:rPr>
                <w:sz w:val="26"/>
                <w:szCs w:val="26"/>
              </w:rPr>
            </w:pPr>
            <w:r w:rsidRPr="00EC6238">
              <w:rPr>
                <w:sz w:val="26"/>
                <w:szCs w:val="26"/>
              </w:rPr>
              <w:t>Staphylococcu</w:t>
            </w:r>
            <w:r w:rsidR="00043D9B">
              <w:rPr>
                <w:sz w:val="26"/>
                <w:szCs w:val="26"/>
              </w:rPr>
              <w:t>s</w:t>
            </w:r>
          </w:p>
          <w:p w:rsidR="00A207EC" w:rsidRPr="00EC6238" w:rsidRDefault="00A207EC" w:rsidP="00043D9B">
            <w:pPr>
              <w:spacing w:before="120" w:after="120" w:line="240" w:lineRule="auto"/>
              <w:ind w:firstLine="567"/>
              <w:jc w:val="both"/>
              <w:rPr>
                <w:sz w:val="26"/>
                <w:szCs w:val="26"/>
              </w:rPr>
            </w:pPr>
            <w:r w:rsidRPr="00EC6238">
              <w:rPr>
                <w:sz w:val="26"/>
                <w:szCs w:val="26"/>
              </w:rPr>
              <w:t>Nấm men</w:t>
            </w:r>
          </w:p>
          <w:p w:rsidR="00A207EC" w:rsidRPr="00EC6238" w:rsidRDefault="00A207EC" w:rsidP="00043D9B">
            <w:pPr>
              <w:spacing w:before="120" w:after="120" w:line="240" w:lineRule="auto"/>
              <w:ind w:firstLine="567"/>
              <w:jc w:val="both"/>
              <w:rPr>
                <w:sz w:val="26"/>
                <w:szCs w:val="26"/>
              </w:rPr>
            </w:pPr>
            <w:r w:rsidRPr="00EC6238">
              <w:rPr>
                <w:sz w:val="26"/>
                <w:szCs w:val="26"/>
              </w:rPr>
              <w:t>Mốc meo</w:t>
            </w:r>
          </w:p>
          <w:p w:rsidR="00A207EC" w:rsidRPr="00EC6238" w:rsidRDefault="00A207EC" w:rsidP="00043D9B">
            <w:pPr>
              <w:spacing w:before="120" w:after="120" w:line="240" w:lineRule="auto"/>
              <w:ind w:firstLine="567"/>
              <w:jc w:val="both"/>
              <w:rPr>
                <w:sz w:val="26"/>
                <w:szCs w:val="26"/>
              </w:rPr>
            </w:pPr>
            <w:r w:rsidRPr="00EC6238">
              <w:rPr>
                <w:sz w:val="26"/>
                <w:szCs w:val="26"/>
              </w:rPr>
              <w:t>Aspergillus</w:t>
            </w:r>
          </w:p>
        </w:tc>
        <w:tc>
          <w:tcPr>
            <w:tcW w:w="2199" w:type="dxa"/>
            <w:vAlign w:val="center"/>
          </w:tcPr>
          <w:p w:rsidR="00A207EC" w:rsidRPr="00EC6238" w:rsidRDefault="00A207EC" w:rsidP="00043D9B">
            <w:pPr>
              <w:spacing w:before="120" w:after="120" w:line="240" w:lineRule="auto"/>
              <w:ind w:firstLine="519"/>
              <w:jc w:val="both"/>
              <w:rPr>
                <w:sz w:val="26"/>
                <w:szCs w:val="26"/>
              </w:rPr>
            </w:pPr>
            <w:r w:rsidRPr="00EC6238">
              <w:rPr>
                <w:sz w:val="26"/>
                <w:szCs w:val="26"/>
              </w:rPr>
              <w:t>-</w:t>
            </w:r>
          </w:p>
          <w:p w:rsidR="00A207EC" w:rsidRPr="00EC6238" w:rsidRDefault="00A207EC" w:rsidP="00043D9B">
            <w:pPr>
              <w:spacing w:before="120" w:after="120" w:line="240" w:lineRule="auto"/>
              <w:ind w:firstLine="519"/>
              <w:jc w:val="both"/>
              <w:rPr>
                <w:sz w:val="26"/>
                <w:szCs w:val="26"/>
              </w:rPr>
            </w:pPr>
            <w:r w:rsidRPr="00EC6238">
              <w:rPr>
                <w:sz w:val="26"/>
                <w:szCs w:val="26"/>
              </w:rPr>
              <w:t>4,3 – 4,4</w:t>
            </w:r>
          </w:p>
          <w:p w:rsidR="00A207EC" w:rsidRPr="00EC6238" w:rsidRDefault="00A207EC" w:rsidP="00043D9B">
            <w:pPr>
              <w:spacing w:before="120" w:after="120" w:line="240" w:lineRule="auto"/>
              <w:ind w:firstLine="519"/>
              <w:jc w:val="both"/>
              <w:rPr>
                <w:sz w:val="26"/>
                <w:szCs w:val="26"/>
              </w:rPr>
            </w:pPr>
            <w:r w:rsidRPr="00EC6238">
              <w:rPr>
                <w:sz w:val="26"/>
                <w:szCs w:val="26"/>
              </w:rPr>
              <w:t>4,4 – 5,6</w:t>
            </w:r>
          </w:p>
          <w:p w:rsidR="00A207EC" w:rsidRPr="00EC6238" w:rsidRDefault="00A207EC" w:rsidP="00043D9B">
            <w:pPr>
              <w:spacing w:before="120" w:after="120" w:line="240" w:lineRule="auto"/>
              <w:ind w:firstLine="519"/>
              <w:jc w:val="both"/>
              <w:rPr>
                <w:sz w:val="26"/>
                <w:szCs w:val="26"/>
              </w:rPr>
            </w:pPr>
            <w:r w:rsidRPr="00EC6238">
              <w:rPr>
                <w:sz w:val="26"/>
                <w:szCs w:val="26"/>
              </w:rPr>
              <w:t>4 – 5</w:t>
            </w:r>
          </w:p>
          <w:p w:rsidR="00A207EC" w:rsidRPr="00EC6238" w:rsidRDefault="00A207EC" w:rsidP="00043D9B">
            <w:pPr>
              <w:spacing w:before="120" w:after="120" w:line="240" w:lineRule="auto"/>
              <w:ind w:firstLine="519"/>
              <w:jc w:val="both"/>
              <w:rPr>
                <w:sz w:val="26"/>
                <w:szCs w:val="26"/>
              </w:rPr>
            </w:pPr>
            <w:r w:rsidRPr="00EC6238">
              <w:rPr>
                <w:sz w:val="26"/>
                <w:szCs w:val="26"/>
              </w:rPr>
              <w:t>4,2</w:t>
            </w:r>
          </w:p>
          <w:p w:rsidR="00A207EC" w:rsidRPr="00EC6238" w:rsidRDefault="00A207EC" w:rsidP="00043D9B">
            <w:pPr>
              <w:spacing w:before="120" w:after="120" w:line="240" w:lineRule="auto"/>
              <w:ind w:firstLine="519"/>
              <w:jc w:val="both"/>
              <w:rPr>
                <w:sz w:val="26"/>
                <w:szCs w:val="26"/>
              </w:rPr>
            </w:pPr>
            <w:r w:rsidRPr="00EC6238">
              <w:rPr>
                <w:sz w:val="26"/>
                <w:szCs w:val="26"/>
              </w:rPr>
              <w:t>1,5 – 3,5</w:t>
            </w:r>
          </w:p>
          <w:p w:rsidR="00A207EC" w:rsidRPr="00EC6238" w:rsidRDefault="00A207EC" w:rsidP="00043D9B">
            <w:pPr>
              <w:spacing w:before="120" w:after="120" w:line="240" w:lineRule="auto"/>
              <w:ind w:firstLine="519"/>
              <w:jc w:val="both"/>
              <w:rPr>
                <w:sz w:val="26"/>
                <w:szCs w:val="26"/>
              </w:rPr>
            </w:pPr>
            <w:r w:rsidRPr="00EC6238">
              <w:rPr>
                <w:sz w:val="26"/>
                <w:szCs w:val="26"/>
              </w:rPr>
              <w:t>1,5 – 3,5</w:t>
            </w:r>
          </w:p>
          <w:p w:rsidR="00A207EC" w:rsidRPr="00EC6238" w:rsidRDefault="00A207EC" w:rsidP="00043D9B">
            <w:pPr>
              <w:spacing w:before="120" w:after="120" w:line="240" w:lineRule="auto"/>
              <w:ind w:firstLine="519"/>
              <w:jc w:val="both"/>
              <w:rPr>
                <w:sz w:val="26"/>
                <w:szCs w:val="26"/>
              </w:rPr>
            </w:pPr>
            <w:r w:rsidRPr="00EC6238">
              <w:rPr>
                <w:sz w:val="26"/>
                <w:szCs w:val="26"/>
              </w:rPr>
              <w:t>-</w:t>
            </w:r>
          </w:p>
        </w:tc>
        <w:tc>
          <w:tcPr>
            <w:tcW w:w="2200" w:type="dxa"/>
            <w:vAlign w:val="center"/>
          </w:tcPr>
          <w:p w:rsidR="00A207EC" w:rsidRPr="00EC6238" w:rsidRDefault="00A207EC" w:rsidP="00FB39BB">
            <w:pPr>
              <w:spacing w:before="120" w:after="120" w:line="240" w:lineRule="auto"/>
              <w:ind w:firstLine="913"/>
              <w:jc w:val="both"/>
              <w:rPr>
                <w:sz w:val="26"/>
                <w:szCs w:val="26"/>
              </w:rPr>
            </w:pPr>
            <w:r w:rsidRPr="00EC6238">
              <w:rPr>
                <w:sz w:val="26"/>
                <w:szCs w:val="26"/>
              </w:rPr>
              <w:t>6 – 7,6</w:t>
            </w:r>
          </w:p>
          <w:p w:rsidR="00A207EC" w:rsidRPr="00EC6238" w:rsidRDefault="00A207EC" w:rsidP="00FB39BB">
            <w:pPr>
              <w:spacing w:before="120" w:after="120" w:line="240" w:lineRule="auto"/>
              <w:ind w:firstLine="913"/>
              <w:jc w:val="both"/>
              <w:rPr>
                <w:sz w:val="26"/>
                <w:szCs w:val="26"/>
              </w:rPr>
            </w:pPr>
            <w:r w:rsidRPr="00EC6238">
              <w:rPr>
                <w:sz w:val="26"/>
                <w:szCs w:val="26"/>
              </w:rPr>
              <w:t>6 – 8</w:t>
            </w:r>
          </w:p>
          <w:p w:rsidR="00A207EC" w:rsidRPr="00EC6238" w:rsidRDefault="00A207EC" w:rsidP="00FB39BB">
            <w:pPr>
              <w:spacing w:before="120" w:after="120" w:line="240" w:lineRule="auto"/>
              <w:ind w:firstLine="913"/>
              <w:jc w:val="both"/>
              <w:rPr>
                <w:sz w:val="26"/>
                <w:szCs w:val="26"/>
              </w:rPr>
            </w:pPr>
            <w:r w:rsidRPr="00EC6238">
              <w:rPr>
                <w:sz w:val="26"/>
                <w:szCs w:val="26"/>
              </w:rPr>
              <w:t>6,6 – 7</w:t>
            </w:r>
          </w:p>
          <w:p w:rsidR="00A207EC" w:rsidRPr="00EC6238" w:rsidRDefault="00A207EC" w:rsidP="00FB39BB">
            <w:pPr>
              <w:spacing w:before="120" w:after="120" w:line="240" w:lineRule="auto"/>
              <w:ind w:firstLine="913"/>
              <w:jc w:val="both"/>
              <w:rPr>
                <w:sz w:val="26"/>
                <w:szCs w:val="26"/>
              </w:rPr>
            </w:pPr>
            <w:r w:rsidRPr="00EC6238">
              <w:rPr>
                <w:sz w:val="26"/>
                <w:szCs w:val="26"/>
              </w:rPr>
              <w:t>6 -7,5</w:t>
            </w:r>
          </w:p>
          <w:p w:rsidR="00A207EC" w:rsidRPr="00EC6238" w:rsidRDefault="00A207EC" w:rsidP="00FB39BB">
            <w:pPr>
              <w:spacing w:before="120" w:after="120" w:line="240" w:lineRule="auto"/>
              <w:ind w:firstLine="913"/>
              <w:jc w:val="both"/>
              <w:rPr>
                <w:sz w:val="26"/>
                <w:szCs w:val="26"/>
              </w:rPr>
            </w:pPr>
            <w:r w:rsidRPr="00EC6238">
              <w:rPr>
                <w:sz w:val="26"/>
                <w:szCs w:val="26"/>
              </w:rPr>
              <w:t>6,8 – 7,5</w:t>
            </w:r>
          </w:p>
          <w:p w:rsidR="00A207EC" w:rsidRPr="00EC6238" w:rsidRDefault="00A207EC" w:rsidP="00FB39BB">
            <w:pPr>
              <w:spacing w:before="120" w:after="120" w:line="240" w:lineRule="auto"/>
              <w:ind w:firstLine="913"/>
              <w:jc w:val="both"/>
              <w:rPr>
                <w:sz w:val="26"/>
                <w:szCs w:val="26"/>
              </w:rPr>
            </w:pPr>
            <w:r w:rsidRPr="00EC6238">
              <w:rPr>
                <w:sz w:val="26"/>
                <w:szCs w:val="26"/>
              </w:rPr>
              <w:t>4 – 6,5</w:t>
            </w:r>
          </w:p>
          <w:p w:rsidR="00A207EC" w:rsidRPr="00EC6238" w:rsidRDefault="00A207EC" w:rsidP="00FB39BB">
            <w:pPr>
              <w:spacing w:before="120" w:after="120" w:line="240" w:lineRule="auto"/>
              <w:ind w:firstLine="913"/>
              <w:jc w:val="both"/>
              <w:rPr>
                <w:sz w:val="26"/>
                <w:szCs w:val="26"/>
              </w:rPr>
            </w:pPr>
            <w:r w:rsidRPr="00EC6238">
              <w:rPr>
                <w:sz w:val="26"/>
                <w:szCs w:val="26"/>
              </w:rPr>
              <w:t>4,5 – 6,8</w:t>
            </w:r>
          </w:p>
          <w:p w:rsidR="00A207EC" w:rsidRPr="00EC6238" w:rsidRDefault="00A207EC" w:rsidP="00FB39BB">
            <w:pPr>
              <w:spacing w:before="120" w:after="120" w:line="240" w:lineRule="auto"/>
              <w:ind w:firstLine="913"/>
              <w:jc w:val="both"/>
              <w:rPr>
                <w:sz w:val="26"/>
                <w:szCs w:val="26"/>
              </w:rPr>
            </w:pPr>
            <w:r w:rsidRPr="00EC6238">
              <w:rPr>
                <w:sz w:val="26"/>
                <w:szCs w:val="26"/>
              </w:rPr>
              <w:t>3 – 6,8</w:t>
            </w:r>
          </w:p>
        </w:tc>
        <w:tc>
          <w:tcPr>
            <w:tcW w:w="2200" w:type="dxa"/>
            <w:vAlign w:val="center"/>
          </w:tcPr>
          <w:p w:rsidR="00A207EC" w:rsidRPr="00EC6238" w:rsidRDefault="00A207EC" w:rsidP="00FB39BB">
            <w:pPr>
              <w:spacing w:before="120" w:after="120" w:line="240" w:lineRule="auto"/>
              <w:ind w:firstLine="913"/>
              <w:jc w:val="both"/>
              <w:rPr>
                <w:sz w:val="26"/>
                <w:szCs w:val="26"/>
              </w:rPr>
            </w:pPr>
            <w:r w:rsidRPr="00EC6238">
              <w:rPr>
                <w:sz w:val="26"/>
                <w:szCs w:val="26"/>
              </w:rPr>
              <w:t>8,5</w:t>
            </w:r>
          </w:p>
          <w:p w:rsidR="00A207EC" w:rsidRPr="00EC6238" w:rsidRDefault="00A207EC" w:rsidP="00FB39BB">
            <w:pPr>
              <w:spacing w:before="120" w:after="120" w:line="240" w:lineRule="auto"/>
              <w:ind w:firstLine="913"/>
              <w:jc w:val="both"/>
              <w:rPr>
                <w:sz w:val="26"/>
                <w:szCs w:val="26"/>
              </w:rPr>
            </w:pPr>
            <w:r w:rsidRPr="00EC6238">
              <w:rPr>
                <w:sz w:val="26"/>
                <w:szCs w:val="26"/>
              </w:rPr>
              <w:t>9 – 10</w:t>
            </w:r>
          </w:p>
          <w:p w:rsidR="00A207EC" w:rsidRPr="00EC6238" w:rsidRDefault="00A207EC" w:rsidP="00FB39BB">
            <w:pPr>
              <w:spacing w:before="120" w:after="120" w:line="240" w:lineRule="auto"/>
              <w:ind w:firstLine="913"/>
              <w:jc w:val="both"/>
              <w:rPr>
                <w:sz w:val="26"/>
                <w:szCs w:val="26"/>
              </w:rPr>
            </w:pPr>
            <w:r w:rsidRPr="00EC6238">
              <w:rPr>
                <w:sz w:val="26"/>
                <w:szCs w:val="26"/>
              </w:rPr>
              <w:t>8 – 9</w:t>
            </w:r>
          </w:p>
          <w:p w:rsidR="00A207EC" w:rsidRPr="00EC6238" w:rsidRDefault="00A207EC" w:rsidP="00FB39BB">
            <w:pPr>
              <w:spacing w:before="120" w:after="120" w:line="240" w:lineRule="auto"/>
              <w:ind w:firstLine="913"/>
              <w:jc w:val="both"/>
              <w:rPr>
                <w:sz w:val="26"/>
                <w:szCs w:val="26"/>
              </w:rPr>
            </w:pPr>
            <w:r w:rsidRPr="00EC6238">
              <w:rPr>
                <w:sz w:val="26"/>
                <w:szCs w:val="26"/>
              </w:rPr>
              <w:t>9</w:t>
            </w:r>
          </w:p>
          <w:p w:rsidR="00A207EC" w:rsidRPr="00EC6238" w:rsidRDefault="00A207EC" w:rsidP="00FB39BB">
            <w:pPr>
              <w:spacing w:before="120" w:after="120" w:line="240" w:lineRule="auto"/>
              <w:ind w:firstLine="913"/>
              <w:jc w:val="both"/>
              <w:rPr>
                <w:sz w:val="26"/>
                <w:szCs w:val="26"/>
              </w:rPr>
            </w:pPr>
            <w:r w:rsidRPr="00EC6238">
              <w:rPr>
                <w:sz w:val="26"/>
                <w:szCs w:val="26"/>
              </w:rPr>
              <w:t>9,3</w:t>
            </w:r>
          </w:p>
          <w:p w:rsidR="00A207EC" w:rsidRPr="00EC6238" w:rsidRDefault="00A207EC" w:rsidP="00FB39BB">
            <w:pPr>
              <w:spacing w:before="120" w:after="120" w:line="240" w:lineRule="auto"/>
              <w:ind w:firstLine="913"/>
              <w:jc w:val="both"/>
              <w:rPr>
                <w:sz w:val="26"/>
                <w:szCs w:val="26"/>
              </w:rPr>
            </w:pPr>
            <w:r w:rsidRPr="00EC6238">
              <w:rPr>
                <w:sz w:val="26"/>
                <w:szCs w:val="26"/>
              </w:rPr>
              <w:t>8 – 8,5</w:t>
            </w:r>
          </w:p>
          <w:p w:rsidR="00A207EC" w:rsidRPr="00EC6238" w:rsidRDefault="00A207EC" w:rsidP="00FB39BB">
            <w:pPr>
              <w:spacing w:before="120" w:after="120" w:line="240" w:lineRule="auto"/>
              <w:ind w:firstLine="913"/>
              <w:jc w:val="both"/>
              <w:rPr>
                <w:sz w:val="26"/>
                <w:szCs w:val="26"/>
              </w:rPr>
            </w:pPr>
            <w:r w:rsidRPr="00EC6238">
              <w:rPr>
                <w:sz w:val="26"/>
                <w:szCs w:val="26"/>
              </w:rPr>
              <w:t>8 - 11</w:t>
            </w:r>
          </w:p>
          <w:p w:rsidR="00A207EC" w:rsidRPr="00EC6238" w:rsidRDefault="00A207EC" w:rsidP="00FB39BB">
            <w:pPr>
              <w:spacing w:before="120" w:after="120" w:line="240" w:lineRule="auto"/>
              <w:ind w:firstLine="913"/>
              <w:jc w:val="both"/>
              <w:rPr>
                <w:sz w:val="26"/>
                <w:szCs w:val="26"/>
              </w:rPr>
            </w:pPr>
            <w:r w:rsidRPr="00EC6238">
              <w:rPr>
                <w:sz w:val="26"/>
                <w:szCs w:val="26"/>
              </w:rPr>
              <w:t>-</w:t>
            </w:r>
          </w:p>
        </w:tc>
      </w:tr>
    </w:tbl>
    <w:p w:rsidR="00A207EC" w:rsidRPr="00EC6238" w:rsidRDefault="00A207EC" w:rsidP="005650D4">
      <w:pPr>
        <w:spacing w:before="120" w:after="120" w:line="240" w:lineRule="auto"/>
        <w:ind w:firstLine="567"/>
        <w:jc w:val="both"/>
        <w:rPr>
          <w:sz w:val="26"/>
          <w:szCs w:val="26"/>
        </w:rPr>
      </w:pPr>
      <w:r w:rsidRPr="00EC6238">
        <w:rPr>
          <w:i/>
          <w:sz w:val="26"/>
          <w:szCs w:val="26"/>
        </w:rPr>
        <w:t>Nguồn: Banwart, 1981</w:t>
      </w:r>
    </w:p>
    <w:p w:rsidR="00A207EC" w:rsidRPr="00EC6238" w:rsidRDefault="00FA3F92" w:rsidP="005650D4">
      <w:pPr>
        <w:spacing w:before="120" w:after="120" w:line="240" w:lineRule="auto"/>
        <w:ind w:firstLine="567"/>
        <w:jc w:val="both"/>
        <w:rPr>
          <w:sz w:val="26"/>
          <w:szCs w:val="26"/>
        </w:rPr>
      </w:pPr>
      <w:r w:rsidRPr="00EC6238">
        <w:rPr>
          <w:sz w:val="26"/>
          <w:szCs w:val="26"/>
        </w:rPr>
        <w:lastRenderedPageBreak/>
        <w:t>C</w:t>
      </w:r>
      <w:r w:rsidR="00A207EC" w:rsidRPr="00EC6238">
        <w:rPr>
          <w:sz w:val="26"/>
          <w:szCs w:val="26"/>
        </w:rPr>
        <w:t>ác vi sinh vật hữu dụng lại phát triển ở môi trường pH thấp (Bảng</w:t>
      </w:r>
      <w:r w:rsidR="00144886" w:rsidRPr="00EC6238">
        <w:rPr>
          <w:sz w:val="26"/>
          <w:szCs w:val="26"/>
        </w:rPr>
        <w:t xml:space="preserve"> 1</w:t>
      </w:r>
      <w:r w:rsidR="00A207EC" w:rsidRPr="00EC6238">
        <w:rPr>
          <w:sz w:val="26"/>
          <w:szCs w:val="26"/>
        </w:rPr>
        <w:t>). Vì vậy để hạn chế một cách tương đối sự phát triển của các vi sinh vật gây bệnh trong đường tiêu hóa, pH ruột phải mức thấp hơn hoặc bằng 4,5 (Hình</w:t>
      </w:r>
      <w:r w:rsidR="00144886" w:rsidRPr="00EC6238">
        <w:rPr>
          <w:sz w:val="26"/>
          <w:szCs w:val="26"/>
        </w:rPr>
        <w:t xml:space="preserve"> 1</w:t>
      </w:r>
      <w:r w:rsidR="00A207EC" w:rsidRPr="00EC6238">
        <w:rPr>
          <w:sz w:val="26"/>
          <w:szCs w:val="26"/>
        </w:rPr>
        <w:t>).</w:t>
      </w:r>
    </w:p>
    <w:p w:rsidR="00A207EC" w:rsidRPr="00EC6238" w:rsidRDefault="00A207EC" w:rsidP="00FB39BB">
      <w:pPr>
        <w:tabs>
          <w:tab w:val="left" w:pos="912"/>
          <w:tab w:val="center" w:pos="4860"/>
        </w:tabs>
        <w:spacing w:before="120" w:after="120" w:line="240" w:lineRule="auto"/>
        <w:ind w:firstLine="913"/>
        <w:jc w:val="both"/>
        <w:rPr>
          <w:sz w:val="26"/>
          <w:szCs w:val="26"/>
        </w:rPr>
      </w:pPr>
    </w:p>
    <w:p w:rsidR="00A207EC" w:rsidRPr="00EC6238" w:rsidRDefault="00A207EC" w:rsidP="00FB39BB">
      <w:pPr>
        <w:tabs>
          <w:tab w:val="left" w:pos="912"/>
          <w:tab w:val="center" w:pos="4860"/>
        </w:tabs>
        <w:spacing w:before="120" w:after="120" w:line="240" w:lineRule="auto"/>
        <w:ind w:firstLine="913"/>
        <w:jc w:val="both"/>
        <w:rPr>
          <w:sz w:val="26"/>
          <w:szCs w:val="26"/>
        </w:rPr>
      </w:pPr>
      <w:r w:rsidRPr="00EC6238">
        <w:rPr>
          <w:sz w:val="26"/>
          <w:szCs w:val="26"/>
        </w:rPr>
        <w:tab/>
      </w:r>
      <w:r w:rsidRPr="00EC6238">
        <w:rPr>
          <w:noProof/>
          <w:sz w:val="26"/>
          <w:szCs w:val="26"/>
        </w:rPr>
        <w:drawing>
          <wp:inline distT="0" distB="0" distL="0" distR="0">
            <wp:extent cx="4114800" cy="2026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026920"/>
                    </a:xfrm>
                    <a:prstGeom prst="rect">
                      <a:avLst/>
                    </a:prstGeom>
                    <a:noFill/>
                    <a:ln>
                      <a:noFill/>
                    </a:ln>
                  </pic:spPr>
                </pic:pic>
              </a:graphicData>
            </a:graphic>
          </wp:inline>
        </w:drawing>
      </w:r>
    </w:p>
    <w:p w:rsidR="00A207EC" w:rsidRPr="00EC6238" w:rsidRDefault="00A207EC" w:rsidP="00FB39BB">
      <w:pPr>
        <w:spacing w:before="120" w:after="120" w:line="240" w:lineRule="auto"/>
        <w:ind w:firstLine="913"/>
        <w:jc w:val="both"/>
        <w:rPr>
          <w:sz w:val="26"/>
          <w:szCs w:val="26"/>
        </w:rPr>
      </w:pPr>
      <w:r w:rsidRPr="00EC6238">
        <w:rPr>
          <w:i/>
          <w:sz w:val="26"/>
          <w:szCs w:val="26"/>
        </w:rPr>
        <w:t>Nguồn: INVE Nutri-AD (Trích dẫn từ Vũ Duy Giảng, 2008)</w:t>
      </w:r>
    </w:p>
    <w:p w:rsidR="00A207EC" w:rsidRPr="00EC6238" w:rsidRDefault="00A207EC" w:rsidP="00FB39BB">
      <w:pPr>
        <w:pStyle w:val="Heading2"/>
        <w:spacing w:before="120" w:after="120" w:line="240" w:lineRule="auto"/>
        <w:ind w:firstLine="913"/>
        <w:rPr>
          <w:b w:val="0"/>
          <w:i/>
          <w:sz w:val="26"/>
          <w:szCs w:val="26"/>
        </w:rPr>
      </w:pPr>
      <w:bookmarkStart w:id="6" w:name="_Toc327623162"/>
      <w:bookmarkStart w:id="7" w:name="_Toc327623607"/>
      <w:bookmarkStart w:id="8" w:name="_Toc327623772"/>
      <w:bookmarkStart w:id="9" w:name="_Toc327624033"/>
      <w:bookmarkStart w:id="10" w:name="_Toc328918840"/>
      <w:bookmarkStart w:id="11" w:name="_Toc328945510"/>
      <w:bookmarkStart w:id="12" w:name="_Toc334225018"/>
      <w:bookmarkStart w:id="13" w:name="_Toc334225639"/>
      <w:r w:rsidRPr="00EC6238">
        <w:rPr>
          <w:sz w:val="26"/>
          <w:szCs w:val="26"/>
        </w:rPr>
        <w:t xml:space="preserve">Hình </w:t>
      </w:r>
      <w:r w:rsidR="00D363B0">
        <w:rPr>
          <w:sz w:val="26"/>
          <w:szCs w:val="26"/>
        </w:rPr>
        <w:t>1</w:t>
      </w:r>
      <w:r w:rsidRPr="00EC6238">
        <w:rPr>
          <w:sz w:val="26"/>
          <w:szCs w:val="26"/>
        </w:rPr>
        <w:t>.</w:t>
      </w:r>
      <w:r w:rsidRPr="00EC6238">
        <w:rPr>
          <w:b w:val="0"/>
          <w:sz w:val="26"/>
          <w:szCs w:val="26"/>
        </w:rPr>
        <w:t xml:space="preserve"> Khoảng pH thích hợp cho sự phát triển của các vi khuẩn thường gặp</w:t>
      </w:r>
      <w:bookmarkEnd w:id="6"/>
      <w:bookmarkEnd w:id="7"/>
      <w:bookmarkEnd w:id="8"/>
      <w:bookmarkEnd w:id="9"/>
      <w:bookmarkEnd w:id="10"/>
      <w:bookmarkEnd w:id="11"/>
      <w:bookmarkEnd w:id="12"/>
      <w:bookmarkEnd w:id="13"/>
    </w:p>
    <w:p w:rsidR="00144886" w:rsidRPr="00EC6238" w:rsidRDefault="00144886" w:rsidP="00144886">
      <w:pPr>
        <w:spacing w:before="120" w:after="120" w:line="360" w:lineRule="auto"/>
        <w:jc w:val="both"/>
        <w:rPr>
          <w:sz w:val="26"/>
          <w:szCs w:val="26"/>
        </w:rPr>
      </w:pPr>
      <w:r w:rsidRPr="00EC6238">
        <w:rPr>
          <w:noProof/>
          <w:sz w:val="26"/>
          <w:szCs w:val="26"/>
        </w:rPr>
        <w:drawing>
          <wp:inline distT="0" distB="0" distL="0" distR="0">
            <wp:extent cx="5692140" cy="3230880"/>
            <wp:effectExtent l="0" t="0" r="3810" b="762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2140" cy="3230880"/>
                    </a:xfrm>
                    <a:prstGeom prst="rect">
                      <a:avLst/>
                    </a:prstGeom>
                    <a:noFill/>
                    <a:ln>
                      <a:noFill/>
                    </a:ln>
                  </pic:spPr>
                </pic:pic>
              </a:graphicData>
            </a:graphic>
          </wp:inline>
        </w:drawing>
      </w:r>
    </w:p>
    <w:p w:rsidR="00144886" w:rsidRPr="00EC6238" w:rsidRDefault="00144886" w:rsidP="005650D4">
      <w:pPr>
        <w:pStyle w:val="Heading2"/>
        <w:rPr>
          <w:b w:val="0"/>
          <w:sz w:val="26"/>
          <w:szCs w:val="26"/>
        </w:rPr>
      </w:pPr>
      <w:bookmarkStart w:id="14" w:name="_Toc327623164"/>
      <w:bookmarkStart w:id="15" w:name="_Toc327623609"/>
      <w:bookmarkStart w:id="16" w:name="_Toc327623774"/>
      <w:bookmarkStart w:id="17" w:name="_Toc327624035"/>
      <w:bookmarkStart w:id="18" w:name="_Toc328918842"/>
      <w:bookmarkStart w:id="19" w:name="_Toc328945512"/>
      <w:bookmarkStart w:id="20" w:name="_Toc334225020"/>
      <w:bookmarkStart w:id="21" w:name="_Toc334225641"/>
      <w:r w:rsidRPr="00EC6238">
        <w:rPr>
          <w:b w:val="0"/>
          <w:i/>
          <w:sz w:val="26"/>
          <w:szCs w:val="26"/>
        </w:rPr>
        <w:t>(Nguồn: Dương Thanh Liêm, 2008)</w:t>
      </w:r>
      <w:bookmarkEnd w:id="14"/>
      <w:bookmarkEnd w:id="15"/>
      <w:bookmarkEnd w:id="16"/>
      <w:bookmarkEnd w:id="17"/>
      <w:bookmarkEnd w:id="18"/>
      <w:bookmarkEnd w:id="19"/>
      <w:bookmarkEnd w:id="20"/>
      <w:bookmarkEnd w:id="21"/>
    </w:p>
    <w:p w:rsidR="001C02AE" w:rsidRPr="00EC6238" w:rsidRDefault="00144886" w:rsidP="00144886">
      <w:pPr>
        <w:spacing w:before="120" w:after="120" w:line="240" w:lineRule="auto"/>
        <w:ind w:firstLine="913"/>
        <w:jc w:val="both"/>
        <w:rPr>
          <w:b/>
          <w:sz w:val="26"/>
          <w:szCs w:val="26"/>
        </w:rPr>
      </w:pPr>
      <w:bookmarkStart w:id="22" w:name="_Toc327623165"/>
      <w:bookmarkStart w:id="23" w:name="_Toc327623610"/>
      <w:bookmarkStart w:id="24" w:name="_Toc327623775"/>
      <w:bookmarkStart w:id="25" w:name="_Toc327624036"/>
      <w:bookmarkStart w:id="26" w:name="_Toc328918843"/>
      <w:bookmarkStart w:id="27" w:name="_Toc328945513"/>
      <w:bookmarkStart w:id="28" w:name="_Toc334225021"/>
      <w:bookmarkStart w:id="29" w:name="_Toc334225642"/>
      <w:r w:rsidRPr="00EC6238">
        <w:rPr>
          <w:sz w:val="26"/>
          <w:szCs w:val="26"/>
        </w:rPr>
        <w:t>Hình 2.</w:t>
      </w:r>
      <w:r w:rsidRPr="00EC6238">
        <w:rPr>
          <w:b/>
          <w:sz w:val="26"/>
          <w:szCs w:val="26"/>
        </w:rPr>
        <w:t xml:space="preserve"> Trạng thái cân bằng hệ vi sinh vật đường ruột và sức khỏe vật chủ</w:t>
      </w:r>
      <w:bookmarkEnd w:id="22"/>
      <w:bookmarkEnd w:id="23"/>
      <w:bookmarkEnd w:id="24"/>
      <w:bookmarkEnd w:id="25"/>
      <w:bookmarkEnd w:id="26"/>
      <w:bookmarkEnd w:id="27"/>
      <w:bookmarkEnd w:id="28"/>
      <w:bookmarkEnd w:id="29"/>
    </w:p>
    <w:p w:rsidR="00144886" w:rsidRDefault="00FA3F92" w:rsidP="0047606C">
      <w:pPr>
        <w:spacing w:before="120" w:after="120" w:line="360" w:lineRule="auto"/>
        <w:ind w:firstLine="720"/>
        <w:jc w:val="both"/>
        <w:rPr>
          <w:sz w:val="26"/>
          <w:szCs w:val="26"/>
        </w:rPr>
      </w:pPr>
      <w:r w:rsidRPr="00EC6238">
        <w:rPr>
          <w:sz w:val="26"/>
          <w:szCs w:val="26"/>
        </w:rPr>
        <w:t xml:space="preserve">Các loại acid hữu cơ giúp cải thiện một cách có hiệu quả </w:t>
      </w:r>
      <w:r w:rsidR="00144886" w:rsidRPr="00EC6238">
        <w:rPr>
          <w:sz w:val="26"/>
          <w:szCs w:val="26"/>
        </w:rPr>
        <w:t xml:space="preserve">nhằm ổn định khu hệ vi sinh vật đường ruột theo hướng có lợi. Từ đó nó cũng có tác động phòng ngừa bệnh tiêu chảy và tăng sự hấp thu dưỡng chất trong thức ăn. </w:t>
      </w:r>
      <w:r w:rsidR="0047606C" w:rsidRPr="00EC6238">
        <w:rPr>
          <w:sz w:val="26"/>
          <w:szCs w:val="26"/>
        </w:rPr>
        <w:t xml:space="preserve">Ví dụ </w:t>
      </w:r>
      <w:r w:rsidR="00144886" w:rsidRPr="00EC6238">
        <w:rPr>
          <w:sz w:val="26"/>
          <w:szCs w:val="26"/>
        </w:rPr>
        <w:t xml:space="preserve">Acid lactic thường được chú ý bổ sung trong thức ăn của heo con ở giai đoạn sau cai sữa và heo con từ 15 – 30 </w:t>
      </w:r>
      <w:r w:rsidR="00144886" w:rsidRPr="00EC6238">
        <w:rPr>
          <w:sz w:val="26"/>
          <w:szCs w:val="26"/>
        </w:rPr>
        <w:lastRenderedPageBreak/>
        <w:t xml:space="preserve">kg để tăng sự phát triển của nhóm vi khuẩn có </w:t>
      </w:r>
      <w:bookmarkStart w:id="30" w:name="_GoBack"/>
      <w:r w:rsidR="00144886" w:rsidRPr="00B02494">
        <w:rPr>
          <w:sz w:val="26"/>
          <w:szCs w:val="26"/>
        </w:rPr>
        <w:t xml:space="preserve">lợi </w:t>
      </w:r>
      <w:r w:rsidR="00144886" w:rsidRPr="00B02494">
        <w:rPr>
          <w:i/>
          <w:sz w:val="26"/>
          <w:szCs w:val="26"/>
        </w:rPr>
        <w:t>Lactobacilli</w:t>
      </w:r>
      <w:r w:rsidR="00144886" w:rsidRPr="00B02494">
        <w:rPr>
          <w:sz w:val="26"/>
          <w:szCs w:val="26"/>
        </w:rPr>
        <w:t xml:space="preserve">. Vì ở các giai đoạn này, vi khuẩn </w:t>
      </w:r>
      <w:r w:rsidR="00144886" w:rsidRPr="00B02494">
        <w:rPr>
          <w:i/>
          <w:sz w:val="26"/>
          <w:szCs w:val="26"/>
        </w:rPr>
        <w:t>Lactobacilli</w:t>
      </w:r>
      <w:r w:rsidR="00144886" w:rsidRPr="00B02494">
        <w:rPr>
          <w:sz w:val="26"/>
          <w:szCs w:val="26"/>
        </w:rPr>
        <w:t xml:space="preserve"> giảm, </w:t>
      </w:r>
      <w:bookmarkEnd w:id="30"/>
      <w:r w:rsidR="00144886" w:rsidRPr="00EC6238">
        <w:rPr>
          <w:sz w:val="26"/>
          <w:szCs w:val="26"/>
        </w:rPr>
        <w:t xml:space="preserve">thay vào đó là vi khuẩn </w:t>
      </w:r>
      <w:r w:rsidR="00144886" w:rsidRPr="00EC6238">
        <w:rPr>
          <w:i/>
          <w:sz w:val="26"/>
          <w:szCs w:val="26"/>
        </w:rPr>
        <w:t>E.coli</w:t>
      </w:r>
      <w:r w:rsidR="00144886" w:rsidRPr="00EC6238">
        <w:rPr>
          <w:sz w:val="26"/>
          <w:szCs w:val="26"/>
        </w:rPr>
        <w:t xml:space="preserve"> và </w:t>
      </w:r>
      <w:r w:rsidR="00144886" w:rsidRPr="00EC6238">
        <w:rPr>
          <w:i/>
          <w:sz w:val="26"/>
          <w:szCs w:val="26"/>
        </w:rPr>
        <w:t xml:space="preserve">Salmonella </w:t>
      </w:r>
      <w:r w:rsidR="00144886" w:rsidRPr="00EC6238">
        <w:rPr>
          <w:sz w:val="26"/>
          <w:szCs w:val="26"/>
        </w:rPr>
        <w:t xml:space="preserve">phát triển ưu thế. </w:t>
      </w:r>
      <w:r w:rsidR="00A5165D">
        <w:rPr>
          <w:sz w:val="26"/>
          <w:szCs w:val="26"/>
        </w:rPr>
        <w:t>Các acid được sản xuất</w:t>
      </w:r>
      <w:r w:rsidR="00144886" w:rsidRPr="00EC6238">
        <w:rPr>
          <w:sz w:val="26"/>
          <w:szCs w:val="26"/>
        </w:rPr>
        <w:t xml:space="preserve"> bằng con đường lên men </w:t>
      </w:r>
      <w:r w:rsidR="00A5165D">
        <w:rPr>
          <w:sz w:val="26"/>
          <w:szCs w:val="26"/>
        </w:rPr>
        <w:t xml:space="preserve">do </w:t>
      </w:r>
      <w:r w:rsidR="00144886" w:rsidRPr="00EC6238">
        <w:rPr>
          <w:sz w:val="26"/>
          <w:szCs w:val="26"/>
        </w:rPr>
        <w:t xml:space="preserve">công nghệ và có thể kết tinh để tạo </w:t>
      </w:r>
      <w:r w:rsidR="00A5165D">
        <w:rPr>
          <w:sz w:val="26"/>
          <w:szCs w:val="26"/>
        </w:rPr>
        <w:t xml:space="preserve">ra dạng khô hoặc dạng lỏng </w:t>
      </w:r>
      <w:r w:rsidR="00144886" w:rsidRPr="00EC6238">
        <w:rPr>
          <w:sz w:val="26"/>
          <w:szCs w:val="26"/>
        </w:rPr>
        <w:t>bổ sung vào thức ăn</w:t>
      </w:r>
      <w:r w:rsidR="00A5165D">
        <w:rPr>
          <w:sz w:val="26"/>
          <w:szCs w:val="26"/>
        </w:rPr>
        <w:t>, nước uống</w:t>
      </w:r>
      <w:r w:rsidR="00144886" w:rsidRPr="00EC6238">
        <w:rPr>
          <w:sz w:val="26"/>
          <w:szCs w:val="26"/>
        </w:rPr>
        <w:t xml:space="preserve"> rất tiện lợi. Các aci</w:t>
      </w:r>
      <w:r w:rsidR="00A5165D">
        <w:rPr>
          <w:sz w:val="26"/>
          <w:szCs w:val="26"/>
        </w:rPr>
        <w:t xml:space="preserve">d này có tác dụng hạ pH ruột </w:t>
      </w:r>
      <w:r w:rsidR="00144886" w:rsidRPr="00EC6238">
        <w:rPr>
          <w:sz w:val="26"/>
          <w:szCs w:val="26"/>
        </w:rPr>
        <w:t xml:space="preserve"> hiệu quả nên có tác dụng tốt trong việc tiêu hóa và ức chế vi khuẩn lên men thối ở ruột. Khi lượng HCl dịch vị tiết ra chưa nhiều, các acid này có vị chua nhẹ nên heo con rất thích ăn, đặc biệt nếu kết hợp với một ít vị ngọt của đường tạo ra vị chua ngọt thì càng hấp dẫn đối với heo con ở giai đoạn tập ăn.</w:t>
      </w:r>
      <w:r w:rsidR="0047606C" w:rsidRPr="00EC6238">
        <w:rPr>
          <w:sz w:val="26"/>
          <w:szCs w:val="26"/>
        </w:rPr>
        <w:t xml:space="preserve"> N</w:t>
      </w:r>
      <w:r w:rsidR="00144886" w:rsidRPr="00EC6238">
        <w:rPr>
          <w:sz w:val="26"/>
          <w:szCs w:val="26"/>
        </w:rPr>
        <w:t>goài tác dụng tiêu diệt các vi khuẩn lên men thối trong đường ruột, còn có tác dụng ức chế sự phát triển c</w:t>
      </w:r>
      <w:r w:rsidRPr="00EC6238">
        <w:rPr>
          <w:sz w:val="26"/>
          <w:szCs w:val="26"/>
        </w:rPr>
        <w:t xml:space="preserve">ủa nấm mốc trong thức ăn </w:t>
      </w:r>
      <w:r w:rsidR="00144886" w:rsidRPr="00EC6238">
        <w:rPr>
          <w:sz w:val="26"/>
          <w:szCs w:val="26"/>
        </w:rPr>
        <w:t>giúp duy trì và phục hồi tính toàn vẹn của lớp biểu mô ruột bằng cách kich thích sự tăng sinh và phát triển của nhung</w:t>
      </w:r>
      <w:r w:rsidR="00A5165D">
        <w:rPr>
          <w:sz w:val="26"/>
          <w:szCs w:val="26"/>
        </w:rPr>
        <w:t xml:space="preserve"> mao ruột</w:t>
      </w:r>
      <w:r w:rsidRPr="00EC6238">
        <w:rPr>
          <w:sz w:val="26"/>
          <w:szCs w:val="26"/>
        </w:rPr>
        <w:t xml:space="preserve">. </w:t>
      </w:r>
      <w:r w:rsidR="00144886" w:rsidRPr="00EC6238">
        <w:rPr>
          <w:sz w:val="26"/>
          <w:szCs w:val="26"/>
        </w:rPr>
        <w:t>Cơ chế sát khuẩn</w:t>
      </w:r>
      <w:r w:rsidR="00065291" w:rsidRPr="00EC6238">
        <w:rPr>
          <w:sz w:val="26"/>
          <w:szCs w:val="26"/>
        </w:rPr>
        <w:t xml:space="preserve"> theo n</w:t>
      </w:r>
      <w:r w:rsidR="00144886" w:rsidRPr="00EC6238">
        <w:rPr>
          <w:sz w:val="26"/>
          <w:szCs w:val="26"/>
        </w:rPr>
        <w:t xml:space="preserve">guyên tắc của acid hữu cơ lên vi khuẩn là sự không phân ly của các acid hữu cơ tan trong lipid. Acid hữu cơ dễ bị phân ly ở môi trường có pH trung tính và ở trạng thái không phân ly mới có khả năng thâm nhập qua màng tế bào vi khuẩn vào trong tế bào chất và gián đoạn các hoạt động sinh lý bình thường của vi khuẩn. Như vậy có sự chênh lệch lớn </w:t>
      </w:r>
      <w:r w:rsidR="00A5165D">
        <w:rPr>
          <w:sz w:val="26"/>
          <w:szCs w:val="26"/>
        </w:rPr>
        <w:t>giữa pH nội bào và pH ngoại bào</w:t>
      </w:r>
      <w:r w:rsidR="00144886" w:rsidRPr="00EC6238">
        <w:rPr>
          <w:sz w:val="26"/>
          <w:szCs w:val="26"/>
        </w:rPr>
        <w:t>. Quá trình này tiêu tốn nhiều năn</w:t>
      </w:r>
      <w:r w:rsidR="005650D4">
        <w:rPr>
          <w:sz w:val="26"/>
          <w:szCs w:val="26"/>
        </w:rPr>
        <w:t>g lượng, có thể dẫn đến cản trở</w:t>
      </w:r>
      <w:r w:rsidR="00144886" w:rsidRPr="00EC6238">
        <w:rPr>
          <w:sz w:val="26"/>
          <w:szCs w:val="26"/>
        </w:rPr>
        <w:t xml:space="preserve"> sự tăng trưởng của vi khuẩn và thậm chí giết chết vi khuẩn. </w:t>
      </w:r>
    </w:p>
    <w:p w:rsidR="00A21E18" w:rsidRDefault="00A21E18" w:rsidP="0047606C">
      <w:pPr>
        <w:spacing w:before="120" w:after="120" w:line="360" w:lineRule="auto"/>
        <w:ind w:firstLine="720"/>
        <w:jc w:val="both"/>
        <w:rPr>
          <w:color w:val="1D2129"/>
          <w:sz w:val="26"/>
          <w:szCs w:val="26"/>
        </w:rPr>
      </w:pPr>
      <w:r>
        <w:rPr>
          <w:color w:val="1D2129"/>
          <w:sz w:val="26"/>
          <w:szCs w:val="26"/>
        </w:rPr>
        <w:t>B</w:t>
      </w:r>
      <w:r w:rsidRPr="00A21E18">
        <w:rPr>
          <w:color w:val="1D2129"/>
          <w:sz w:val="26"/>
          <w:szCs w:val="26"/>
        </w:rPr>
        <w:t>i</w:t>
      </w:r>
      <w:r>
        <w:rPr>
          <w:color w:val="1D2129"/>
          <w:sz w:val="26"/>
          <w:szCs w:val="26"/>
        </w:rPr>
        <w:t>ện pháp sử dụng acid hữu cơ đã góp phần</w:t>
      </w:r>
      <w:r w:rsidRPr="00A21E18">
        <w:rPr>
          <w:color w:val="1D2129"/>
          <w:sz w:val="26"/>
          <w:szCs w:val="26"/>
        </w:rPr>
        <w:t xml:space="preserve"> quan trọng vào thành công của việc thay thế hoàn toàn kháng sinh bổ sung vào thức ăn chăn nuôi ở nhiều nước châu Âu. Ở nước ta, trong khi chưa thực sự loại bỏ được ho</w:t>
      </w:r>
      <w:r w:rsidR="00A5165D">
        <w:rPr>
          <w:color w:val="1D2129"/>
          <w:sz w:val="26"/>
          <w:szCs w:val="26"/>
        </w:rPr>
        <w:t>àn toàn kháng sinh trong chăn nuôi</w:t>
      </w:r>
      <w:r w:rsidRPr="00A21E18">
        <w:rPr>
          <w:color w:val="1D2129"/>
          <w:sz w:val="26"/>
          <w:szCs w:val="26"/>
        </w:rPr>
        <w:t xml:space="preserve">, các nhà chăn nuôi chỉ nên sử dụng kháng sinh </w:t>
      </w:r>
      <w:r w:rsidR="00B872DB">
        <w:rPr>
          <w:color w:val="1D2129"/>
          <w:sz w:val="26"/>
          <w:szCs w:val="26"/>
        </w:rPr>
        <w:t xml:space="preserve">trong danh mục </w:t>
      </w:r>
      <w:r w:rsidRPr="00A21E18">
        <w:rPr>
          <w:color w:val="1D2129"/>
          <w:sz w:val="26"/>
          <w:szCs w:val="26"/>
        </w:rPr>
        <w:t xml:space="preserve">được cho phép cho gia súc gia cầm trong những giai đoạn </w:t>
      </w:r>
      <w:r w:rsidR="00A5165D">
        <w:rPr>
          <w:color w:val="1D2129"/>
          <w:sz w:val="26"/>
          <w:szCs w:val="26"/>
        </w:rPr>
        <w:t xml:space="preserve">nhạy cảm với môi trường </w:t>
      </w:r>
      <w:r w:rsidR="00B872DB">
        <w:rPr>
          <w:color w:val="1D2129"/>
          <w:sz w:val="26"/>
          <w:szCs w:val="26"/>
        </w:rPr>
        <w:t xml:space="preserve">và </w:t>
      </w:r>
      <w:r w:rsidRPr="00A21E18">
        <w:rPr>
          <w:color w:val="1D2129"/>
          <w:sz w:val="26"/>
          <w:szCs w:val="26"/>
        </w:rPr>
        <w:t>dễ bị stress như cai sữa, chuyển đàn, chuyển mùa</w:t>
      </w:r>
      <w:r w:rsidR="00A5165D">
        <w:rPr>
          <w:color w:val="1D2129"/>
          <w:sz w:val="26"/>
          <w:szCs w:val="26"/>
        </w:rPr>
        <w:t>, giao mùa, điều trị bệnh</w:t>
      </w:r>
      <w:r w:rsidRPr="00A21E18">
        <w:rPr>
          <w:color w:val="1D2129"/>
          <w:sz w:val="26"/>
          <w:szCs w:val="26"/>
        </w:rPr>
        <w:t>; các giai đoạn khác thì không dùng kháng sinh mà thay thế kháng sin</w:t>
      </w:r>
      <w:r>
        <w:rPr>
          <w:color w:val="1D2129"/>
          <w:sz w:val="26"/>
          <w:szCs w:val="26"/>
        </w:rPr>
        <w:t>h bằng việc bổ sung acid hữu cơ</w:t>
      </w:r>
      <w:r w:rsidRPr="00A21E18">
        <w:rPr>
          <w:color w:val="1D2129"/>
          <w:sz w:val="26"/>
          <w:szCs w:val="26"/>
        </w:rPr>
        <w:t xml:space="preserve"> hoặc các biện pháp thay thế khác cùng với việc áp dụng nghiêm ngặt về các điều kiện vệ sinh và an toàn sinh học trong quy trình chăn nuôi.</w:t>
      </w:r>
    </w:p>
    <w:p w:rsidR="00A35426" w:rsidRPr="00B6741D" w:rsidRDefault="00A35426" w:rsidP="00A35426">
      <w:pPr>
        <w:shd w:val="clear" w:color="auto" w:fill="FFFFFF"/>
        <w:spacing w:before="120" w:after="120" w:line="240" w:lineRule="auto"/>
        <w:ind w:firstLine="720"/>
        <w:jc w:val="right"/>
        <w:rPr>
          <w:sz w:val="28"/>
          <w:szCs w:val="28"/>
        </w:rPr>
      </w:pPr>
      <w:r w:rsidRPr="00B6741D">
        <w:rPr>
          <w:sz w:val="28"/>
          <w:szCs w:val="28"/>
        </w:rPr>
        <w:t>Trần Thị Nhung – Phòng Quản lý giống và KTCN</w:t>
      </w:r>
    </w:p>
    <w:p w:rsidR="00A35426" w:rsidRPr="00A21E18" w:rsidRDefault="00A35426" w:rsidP="0047606C">
      <w:pPr>
        <w:spacing w:before="120" w:after="120" w:line="360" w:lineRule="auto"/>
        <w:ind w:firstLine="720"/>
        <w:jc w:val="both"/>
        <w:rPr>
          <w:sz w:val="26"/>
          <w:szCs w:val="26"/>
        </w:rPr>
      </w:pPr>
    </w:p>
    <w:sectPr w:rsidR="00A35426" w:rsidRPr="00A21E18" w:rsidSect="004F740B">
      <w:headerReference w:type="default" r:id="rId8"/>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4A4" w:rsidRDefault="00F454A4" w:rsidP="004F740B">
      <w:pPr>
        <w:spacing w:line="240" w:lineRule="auto"/>
      </w:pPr>
      <w:r>
        <w:separator/>
      </w:r>
    </w:p>
  </w:endnote>
  <w:endnote w:type="continuationSeparator" w:id="1">
    <w:p w:rsidR="00F454A4" w:rsidRDefault="00F454A4" w:rsidP="004F74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4A4" w:rsidRDefault="00F454A4" w:rsidP="004F740B">
      <w:pPr>
        <w:spacing w:line="240" w:lineRule="auto"/>
      </w:pPr>
      <w:r>
        <w:separator/>
      </w:r>
    </w:p>
  </w:footnote>
  <w:footnote w:type="continuationSeparator" w:id="1">
    <w:p w:rsidR="00F454A4" w:rsidRDefault="00F454A4" w:rsidP="004F740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0B" w:rsidRPr="004F740B" w:rsidRDefault="004F740B" w:rsidP="004F740B">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207EC"/>
    <w:rsid w:val="00040BFF"/>
    <w:rsid w:val="00043D9B"/>
    <w:rsid w:val="00065291"/>
    <w:rsid w:val="00144886"/>
    <w:rsid w:val="001C02AE"/>
    <w:rsid w:val="002B6A1F"/>
    <w:rsid w:val="00321BB4"/>
    <w:rsid w:val="003631C1"/>
    <w:rsid w:val="0047606C"/>
    <w:rsid w:val="004F740B"/>
    <w:rsid w:val="005650D4"/>
    <w:rsid w:val="00660435"/>
    <w:rsid w:val="006C1305"/>
    <w:rsid w:val="00875B19"/>
    <w:rsid w:val="00A207EC"/>
    <w:rsid w:val="00A21E18"/>
    <w:rsid w:val="00A35426"/>
    <w:rsid w:val="00A5165D"/>
    <w:rsid w:val="00A74A78"/>
    <w:rsid w:val="00B02494"/>
    <w:rsid w:val="00B07D9E"/>
    <w:rsid w:val="00B872DB"/>
    <w:rsid w:val="00D363B0"/>
    <w:rsid w:val="00E02193"/>
    <w:rsid w:val="00EC24EB"/>
    <w:rsid w:val="00EC6238"/>
    <w:rsid w:val="00ED43A4"/>
    <w:rsid w:val="00F454A4"/>
    <w:rsid w:val="00FA3F92"/>
    <w:rsid w:val="00FB3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EC"/>
    <w:pPr>
      <w:spacing w:after="0" w:line="264" w:lineRule="auto"/>
      <w:jc w:val="center"/>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07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207EC"/>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07EC"/>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A207EC"/>
    <w:rPr>
      <w:rFonts w:asciiTheme="majorHAnsi" w:eastAsiaTheme="majorEastAsia" w:hAnsiTheme="majorHAnsi" w:cstheme="majorBidi"/>
      <w:color w:val="2E74B5" w:themeColor="accent1" w:themeShade="BF"/>
      <w:sz w:val="32"/>
      <w:szCs w:val="32"/>
    </w:rPr>
  </w:style>
  <w:style w:type="character" w:customStyle="1" w:styleId="longtext">
    <w:name w:val="long_text"/>
    <w:basedOn w:val="DefaultParagraphFont"/>
    <w:rsid w:val="00A207EC"/>
    <w:rPr>
      <w:rFonts w:cs="Times New Roman"/>
    </w:rPr>
  </w:style>
  <w:style w:type="paragraph" w:styleId="NormalWeb">
    <w:name w:val="Normal (Web)"/>
    <w:basedOn w:val="Normal"/>
    <w:uiPriority w:val="99"/>
    <w:semiHidden/>
    <w:unhideWhenUsed/>
    <w:rsid w:val="00FB39BB"/>
    <w:pPr>
      <w:spacing w:before="100" w:beforeAutospacing="1" w:after="100" w:afterAutospacing="1" w:line="240" w:lineRule="auto"/>
      <w:jc w:val="left"/>
    </w:pPr>
  </w:style>
  <w:style w:type="character" w:styleId="Strong">
    <w:name w:val="Strong"/>
    <w:basedOn w:val="DefaultParagraphFont"/>
    <w:uiPriority w:val="22"/>
    <w:qFormat/>
    <w:rsid w:val="00144886"/>
    <w:rPr>
      <w:rFonts w:cs="Times New Roman"/>
      <w:b/>
      <w:bCs/>
    </w:rPr>
  </w:style>
  <w:style w:type="paragraph" w:styleId="Header">
    <w:name w:val="header"/>
    <w:basedOn w:val="Normal"/>
    <w:link w:val="HeaderChar"/>
    <w:uiPriority w:val="99"/>
    <w:unhideWhenUsed/>
    <w:rsid w:val="004F740B"/>
    <w:pPr>
      <w:tabs>
        <w:tab w:val="center" w:pos="4680"/>
        <w:tab w:val="right" w:pos="9360"/>
      </w:tabs>
      <w:spacing w:line="240" w:lineRule="auto"/>
    </w:pPr>
  </w:style>
  <w:style w:type="character" w:customStyle="1" w:styleId="HeaderChar">
    <w:name w:val="Header Char"/>
    <w:basedOn w:val="DefaultParagraphFont"/>
    <w:link w:val="Header"/>
    <w:uiPriority w:val="99"/>
    <w:rsid w:val="004F74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740B"/>
    <w:pPr>
      <w:tabs>
        <w:tab w:val="center" w:pos="4680"/>
        <w:tab w:val="right" w:pos="9360"/>
      </w:tabs>
      <w:spacing w:line="240" w:lineRule="auto"/>
    </w:pPr>
  </w:style>
  <w:style w:type="character" w:customStyle="1" w:styleId="FooterChar">
    <w:name w:val="Footer Char"/>
    <w:basedOn w:val="DefaultParagraphFont"/>
    <w:link w:val="Footer"/>
    <w:uiPriority w:val="99"/>
    <w:rsid w:val="004F74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3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2016-07-18T07:34:00Z</cp:lastPrinted>
  <dcterms:created xsi:type="dcterms:W3CDTF">2016-07-18T07:32:00Z</dcterms:created>
  <dcterms:modified xsi:type="dcterms:W3CDTF">2016-07-18T09:01:00Z</dcterms:modified>
</cp:coreProperties>
</file>